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5592-1_4seq1.xml.htm"/>
      <w:bookmarkStart w:id="1" w:name="kstm2625592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Stafman Andrew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250 WEST 55TH STREET, FLOOR 34</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TWILIO INC</w:t>
              </w:r>
            </w:hyperlink>
            <w:r>
              <w:rPr/>
              <w:t xml:space="preserve"> [ </w:t>
            </w:r>
            <w:r>
              <w:rPr>
                <w:rFonts w:ascii="Times;serif" w:hAnsi="Times;serif"/>
                <w:color w:val="0000FF"/>
                <w:sz w:val="24"/>
                <w:shd w:fill="FFFFFF" w:val="clear"/>
              </w:rPr>
              <w:t>TWLO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06"/>
        <w:gridCol w:w="903"/>
        <w:gridCol w:w="772"/>
        <w:gridCol w:w="600"/>
        <w:gridCol w:w="349"/>
        <w:gridCol w:w="807"/>
        <w:gridCol w:w="457"/>
        <w:gridCol w:w="619"/>
        <w:gridCol w:w="1199"/>
        <w:gridCol w:w="1001"/>
        <w:gridCol w:w="109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0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8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0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0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345</w:t>
            </w:r>
            <w:r>
              <w:rPr>
                <w:rFonts w:ascii="Times;serif" w:hAnsi="Times;serif"/>
                <w:color w:val="008000"/>
                <w:position w:val="7"/>
                <w:sz w:val="16"/>
                <w:sz w:val="20"/>
                <w:shd w:fill="FFFFFF" w:val="clear"/>
              </w:rPr>
              <w:t>(1)</w:t>
            </w:r>
          </w:p>
        </w:tc>
        <w:tc>
          <w:tcPr>
            <w:tcW w:w="4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14,236</w:t>
            </w:r>
            <w:r>
              <w:rPr>
                <w:rFonts w:ascii="Times;serif" w:hAnsi="Times;serif"/>
                <w:color w:val="008000"/>
                <w:position w:val="7"/>
                <w:sz w:val="16"/>
                <w:sz w:val="20"/>
                <w:shd w:fill="FFFFFF" w:val="clear"/>
              </w:rPr>
              <w:t>(2)</w:t>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(3)(4)(5)</w:t>
            </w:r>
          </w:p>
        </w:tc>
        <w:tc>
          <w:tcPr>
            <w:tcW w:w="10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0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120,000</w:t>
            </w:r>
            <w:r>
              <w:rPr>
                <w:rFonts w:ascii="Times;serif" w:hAnsi="Times;serif"/>
                <w:color w:val="008000"/>
                <w:position w:val="7"/>
                <w:sz w:val="16"/>
                <w:sz w:val="20"/>
                <w:shd w:fill="FFFFFF" w:val="clear"/>
              </w:rPr>
              <w:t>(6)</w:t>
            </w:r>
          </w:p>
        </w:tc>
        <w:tc>
          <w:tcPr>
            <w:tcW w:w="10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(3)(4)(7)(8)</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Stafman Andrew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250 WEST 55TH STREET, FLOOR 34</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Ferguson Scott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250 WEST 55TH STREET, 34TH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Sachem Head Capital Management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250 WEST 55TH STREET, 34TH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Uncas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250 WEST 55TH STREET, FLOOR 34</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Sachem Head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250 WEST 55TH STREET, FLOOR 34</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reported in this transaction represent Restricted Stock Units ("RSUs") granted by Twilio Inc. (the "Issuer") to Andrew J. Stafman. Each RSU represents the contingent right to receive one share of the Issuer's Class A common stock. The RSUs vested immediately on the date of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Of these shares, all 14,236 shares represent RSUs. Includes 4,191 RSUs that have been deferred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 addition to Andrew J. Stafman, this Form 4 is being filed jointly by Sachem Head Capital Management LP ("Sachem Head"), Uncas GP LLC ("SH Management"), Sachem Head GP LLC ("Sachem Head GP"), and Scott D. Ferguson, a citizen of the United States (Mr. Ferguson and, together with Sachem Head, SH Management, Sachem GP, and Mr. Stafman, the "Reporting Persons"). Each of the Reporting Persons has the same business address as Mr. Stafman and may be deemed to be the beneficial owner of certain of the securities reported on this Form 4 (the "Subject Securities") for purposes of Rule 16a-1(a) under the Securities Exchange Act of 1934, as amended. Each of the Reporting Persons disclaims any beneficial ownership of any of the Subject Securities, except to the extent of any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Andrew J. Stafman is a partner at Sachem Head and also serves on the board of directors of the Issuer. As a result, the Reporting Persons other than Mr. Stafman may be deemed directors of the Issuer by deputization.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Pursuant to an arrangement between Andrew J. Stafman and Sachem Head, upon receipt of the Subject Securities, Andrew J. Stafman granted all right, title, interest, claims, and any other ownership interests in such Subject Securities to Sachem Head for no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Of these shares, all 120,000 of these shares represent the Issuer's Class A common stock owned by the Sachem Head Funds (as defined below) prior to the Issuer's grant of any RSUs to Andrew J. Stafman.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Includes securities directly owned by Sachem Head LP ("SH") and Sachem Head Master LP ("SHM", and, together with SH, the "Sachem Head Funds"). Each of Sachem Head, as the investment adviser to the Sachem Head Funds, SH Management, as the sole general partner of Sachem Head, and Scott D. Ferguson, as the managing partner of Sachem Head, may be deemed to beneficially own the securities directly owned by the Sachem Head Funds. As the general partner of SH and SHM, Sachem Head GP may be deemed to beneficially own the securities directly owned by SH and SHM.</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principal business of Sachem Head is to serve as investment advisor to certain affiliated funds, including the Sachem Head Funds. The principal business of SH Management is to serve as the sole general partner of Sachem Head. The principal business of Sachem Head GP is to serve as the general partner of certain affiliated funds, including SH and SHM. The principal occupation of Scott D. Ferguson is to serve as the managing partner of Sachem Head and the managing member of SH Management and Sachem Head GP.</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D. Adamski, as Attorney-in-Fact for Andrew J. Stafman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D. Adamski, as Attorney-in-Fact for Scott D. Ferguson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D. Adamski, as General Counsel of Sachem Head Capital Management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D. Adamski, as General Counsel of Uncas GP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D. Adamski, as General Counsel of Sachem Head GP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18024" TargetMode="External"/><Relationship Id="rId5" Type="http://schemas.openxmlformats.org/officeDocument/2006/relationships/hyperlink" Target="http://www.sec.gov/cgi-bin/browse-edgar?action=getcompany&amp;CIK=000144766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2018024" TargetMode="External"/><Relationship Id="rId9" Type="http://schemas.openxmlformats.org/officeDocument/2006/relationships/hyperlink" Target="http://www.sec.gov/cgi-bin/browse-edgar?action=getcompany&amp;CIK=0001658919" TargetMode="External"/><Relationship Id="rId10" Type="http://schemas.openxmlformats.org/officeDocument/2006/relationships/hyperlink" Target="http://www.sec.gov/cgi-bin/browse-edgar?action=getcompany&amp;CIK=0001582090" TargetMode="External"/><Relationship Id="rId11" Type="http://schemas.openxmlformats.org/officeDocument/2006/relationships/hyperlink" Target="http://www.sec.gov/cgi-bin/browse-edgar?action=getcompany&amp;CIK=0001658906" TargetMode="External"/><Relationship Id="rId12" Type="http://schemas.openxmlformats.org/officeDocument/2006/relationships/hyperlink" Target="http://www.sec.gov/cgi-bin/browse-edgar?action=getcompany&amp;CIK=0001658917"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1272</Words>
  <Characters>6579</Characters>
  <CharactersWithSpaces>7701</CharactersWithSpaces>
  <Paragraphs>178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