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Stafman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 WEST 55TH STREET, FLOOR 34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TWILIO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TWLO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220"/>
              <w:spacing w:after="0"/>
              <w:rPr>
                <w:sz w:val="20"/>
                <w:szCs w:val="20"/>
                <w:color w:val="auto"/>
              </w:rPr>
            </w:pPr>
            <w:r>
              <w:rPr>
                <w:rFonts w:ascii="Arial" w:cs="Arial" w:eastAsia="Arial" w:hAnsi="Arial"/>
                <w:sz w:val="12"/>
                <w:szCs w:val="12"/>
                <w:b w:val="1"/>
                <w:bCs w:val="1"/>
                <w:color w:val="auto"/>
              </w:rPr>
              <w:t>6. Ownership</w:t>
            </w:r>
          </w:p>
        </w:tc>
        <w:tc>
          <w:tcPr>
            <w:tcW w:w="1480" w:type="dxa"/>
            <w:vAlign w:val="bottom"/>
            <w:gridSpan w:val="4"/>
          </w:tcPr>
          <w:p>
            <w:pPr>
              <w:ind w:left="1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 Direct</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 or</w:t>
            </w:r>
          </w:p>
        </w:tc>
        <w:tc>
          <w:tcPr>
            <w:tcW w:w="14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10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Indirect (I)</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10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1060" w:type="dxa"/>
            <w:vAlign w:val="bottom"/>
            <w:tcBorders>
              <w:top w:val="single" w:sz="8" w:color="2C2C2C"/>
            </w:tcBorders>
            <w:gridSpan w:val="2"/>
            <w:vMerge w:val="restart"/>
          </w:tcPr>
          <w:p>
            <w:pPr>
              <w:ind w:left="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98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10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060" w:type="dxa"/>
            <w:vAlign w:val="bottom"/>
            <w:gridSpan w:val="2"/>
            <w:vMerge w:val="continue"/>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jc w:val="right"/>
              <w:ind w:right="51"/>
              <w:spacing w:after="0"/>
              <w:rPr>
                <w:sz w:val="20"/>
                <w:szCs w:val="20"/>
                <w:color w:val="auto"/>
              </w:rPr>
            </w:pPr>
            <w:r>
              <w:rPr>
                <w:rFonts w:ascii="Arial" w:cs="Arial" w:eastAsia="Arial" w:hAnsi="Arial"/>
                <w:sz w:val="12"/>
                <w:szCs w:val="12"/>
                <w:b w:val="1"/>
                <w:bCs w:val="1"/>
                <w:color w:val="auto"/>
              </w:rPr>
              <w:t>(D)</w:t>
            </w:r>
          </w:p>
        </w:tc>
        <w:tc>
          <w:tcPr>
            <w:tcW w:w="70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06/15/2026</w:t>
            </w: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399</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98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13,891</w:t>
            </w:r>
            <w:r>
              <w:rPr>
                <w:rFonts w:ascii="Times New Roman" w:cs="Times New Roman" w:eastAsia="Times New Roman" w:hAnsi="Times New Roman"/>
                <w:sz w:val="22"/>
                <w:szCs w:val="22"/>
                <w:color w:val="008000"/>
                <w:vertAlign w:val="superscript"/>
              </w:rPr>
              <w:t>(2)</w:t>
            </w:r>
          </w:p>
        </w:tc>
        <w:tc>
          <w:tcPr>
            <w:tcW w:w="1000" w:type="dxa"/>
            <w:vAlign w:val="bottom"/>
            <w:tcBorders>
              <w:bottom w:val="single" w:sz="8" w:color="2C2C2C"/>
            </w:tcBorders>
          </w:tcPr>
          <w:p>
            <w:pPr>
              <w:ind w:left="3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(3)(4)(5)</w:t>
            </w:r>
          </w:p>
        </w:tc>
        <w:tc>
          <w:tcPr>
            <w:tcW w:w="7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6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620,000</w:t>
            </w:r>
            <w:r>
              <w:rPr>
                <w:rFonts w:ascii="Times New Roman" w:cs="Times New Roman" w:eastAsia="Times New Roman" w:hAnsi="Times New Roman"/>
                <w:sz w:val="22"/>
                <w:szCs w:val="22"/>
                <w:color w:val="008000"/>
                <w:vertAlign w:val="superscript"/>
              </w:rPr>
              <w:t>(6)</w:t>
            </w:r>
          </w:p>
        </w:tc>
        <w:tc>
          <w:tcPr>
            <w:tcW w:w="1000" w:type="dxa"/>
            <w:vAlign w:val="bottom"/>
          </w:tcPr>
          <w:p>
            <w:pPr>
              <w:ind w:left="580"/>
              <w:spacing w:after="0"/>
              <w:rPr>
                <w:sz w:val="20"/>
                <w:szCs w:val="20"/>
                <w:color w:val="auto"/>
              </w:rPr>
            </w:pPr>
            <w:r>
              <w:rPr>
                <w:rFonts w:ascii="Times New Roman" w:cs="Times New Roman" w:eastAsia="Times New Roman" w:hAnsi="Times New Roman"/>
                <w:sz w:val="17"/>
                <w:szCs w:val="17"/>
                <w:color w:val="0000FF"/>
              </w:rPr>
              <w:t>I</w:t>
            </w:r>
          </w:p>
        </w:tc>
        <w:tc>
          <w:tcPr>
            <w:tcW w:w="14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(4)(7)(8)</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gridSpan w:val="2"/>
          </w:tcPr>
          <w:p>
            <w:pPr>
              <w:spacing w:after="0"/>
              <w:rPr>
                <w:sz w:val="7"/>
                <w:szCs w:val="7"/>
                <w:color w:val="auto"/>
              </w:rPr>
            </w:pPr>
          </w:p>
        </w:tc>
        <w:tc>
          <w:tcPr>
            <w:tcW w:w="2860" w:type="dxa"/>
            <w:vAlign w:val="bottom"/>
            <w:tcBorders>
              <w:bottom w:val="single" w:sz="8" w:color="2C2C2C"/>
            </w:tcBorders>
            <w:gridSpan w:val="7"/>
          </w:tcPr>
          <w:p>
            <w:pPr>
              <w:spacing w:after="0"/>
              <w:rPr>
                <w:sz w:val="7"/>
                <w:szCs w:val="7"/>
                <w:color w:val="auto"/>
              </w:rPr>
            </w:pPr>
          </w:p>
        </w:tc>
        <w:tc>
          <w:tcPr>
            <w:tcW w:w="174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940" w:type="dxa"/>
            <w:vAlign w:val="bottom"/>
            <w:tcBorders>
              <w:top w:val="single" w:sz="8" w:color="2C2C2C"/>
            </w:tcBorders>
            <w:gridSpan w:val="17"/>
          </w:tcPr>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20" w:type="dxa"/>
            <w:vAlign w:val="bottom"/>
            <w:gridSpan w:val="15"/>
          </w:tcPr>
          <w:p>
            <w:pPr>
              <w:jc w:val="center"/>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00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0" w:type="dxa"/>
            <w:vAlign w:val="bottom"/>
          </w:tcPr>
          <w:p>
            <w:pPr>
              <w:spacing w:after="0"/>
              <w:rPr>
                <w:sz w:val="11"/>
                <w:szCs w:val="11"/>
                <w:color w:val="auto"/>
              </w:rPr>
            </w:pPr>
          </w:p>
        </w:tc>
        <w:tc>
          <w:tcPr>
            <w:tcW w:w="11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80" w:type="dxa"/>
            <w:vAlign w:val="bottom"/>
          </w:tcPr>
          <w:p>
            <w:pPr>
              <w:spacing w:after="0"/>
              <w:rPr>
                <w:sz w:val="11"/>
                <w:szCs w:val="11"/>
                <w:color w:val="auto"/>
              </w:rPr>
            </w:pPr>
          </w:p>
        </w:tc>
        <w:tc>
          <w:tcPr>
            <w:tcW w:w="11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0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8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jc w:val="right"/>
              <w:ind w:right="51"/>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6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Stafman Andrew</w:t>
              </w:r>
            </w:hyperlink>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250 WEST 55TH STREET, FLOOR 34</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Ferguson Scott D.</w:t>
              </w:r>
            </w:hyperlink>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250 WEST 55TH STREET, 34TH FLOOR</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Sachem Head Capital Management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47853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4785360"/>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250 WEST 55TH STREET, 34TH FLOOR</w:t>
            </w:r>
          </w:p>
        </w:tc>
      </w:tr>
      <w:tr>
        <w:trPr>
          <w:trHeight w:val="208"/>
        </w:trPr>
        <w:tc>
          <w:tcPr>
            <w:tcW w:w="100" w:type="dxa"/>
            <w:vAlign w:val="bottom"/>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60" w:type="dxa"/>
            <w:vAlign w:val="bottom"/>
            <w:gridSpan w:val="2"/>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Uncas GP LLC</w:t>
              </w:r>
            </w:hyperlink>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250 WEST 55TH STREET, FLOOR 34</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80" w:type="dxa"/>
            <w:vAlign w:val="bottom"/>
            <w:gridSpan w:val="4"/>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Sachem Head GP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250 WEST 55TH STREET, FLOOR 34</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 this transaction represent Restricted Stock Units ("RSUs") granted by Twilio Inc. (the "Issuer") to Andrew J. Stafman. Each RSU represents the contingent right to receive one share of the Issuer's Class A common stock. The RSUs vested immediately on the date of grant.</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Of these shares, all 13,891 shares represent RSUs. Includes 3,846 RSUs that have been deferred by the Reporting Person.</w:t>
      </w:r>
    </w:p>
    <w:p>
      <w:pPr>
        <w:spacing w:after="0" w:line="50" w:lineRule="exact"/>
        <w:rPr>
          <w:rFonts w:ascii="Times New Roman" w:cs="Times New Roman" w:eastAsia="Times New Roman" w:hAnsi="Times New Roman"/>
          <w:sz w:val="13"/>
          <w:szCs w:val="13"/>
          <w:color w:val="008000"/>
        </w:rPr>
      </w:pPr>
    </w:p>
    <w:p>
      <w:pPr>
        <w:ind w:left="20" w:right="8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addition to Andrew J. Stafman, this Form 4 is being filed jointly by Sachem Head Capital Management LP ("Sachem Head"), Uncas GP LLC ("SH Management"), Sachem Head GP LLC ("Sachem Head GP"), and Scott D. Ferguson, a citizen of the United States (Mr. Ferguson and, together with Sachem Head, SH Management, Sachem GP, and Mr. Stafman, the "Reporting Persons"). Each of the Reporting Persons has the same business address as Mr. Stafman and may be deemed to be the beneficial owner of certain of the securities reported on this Form 4 (the "Subject Securities") for purposes of Rule 16a-1(a) under the Securities Exchange Act of 1934, as amended. Each of the Reporting Persons disclaims any beneficial ownership of any of the Subject Securities, except to the extent of any pecuniary interest therein.</w:t>
      </w:r>
    </w:p>
    <w:p>
      <w:pPr>
        <w:spacing w:after="0" w:line="26" w:lineRule="exact"/>
        <w:rPr>
          <w:rFonts w:ascii="Times New Roman" w:cs="Times New Roman" w:eastAsia="Times New Roman" w:hAnsi="Times New Roman"/>
          <w:sz w:val="13"/>
          <w:szCs w:val="13"/>
          <w:color w:val="008000"/>
        </w:rPr>
      </w:pPr>
    </w:p>
    <w:p>
      <w:pPr>
        <w:ind w:left="20" w:right="14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Andrew J. Stafman is a partner at Sachem Head and also serves on the board of directors of the Issuer. As a result, the Reporting Persons other than Mr. Stafman may be deemed directors of the Issuer by deputization.</w:t>
      </w:r>
    </w:p>
    <w:p>
      <w:pPr>
        <w:spacing w:after="0" w:line="7" w:lineRule="exact"/>
        <w:rPr>
          <w:rFonts w:ascii="Times New Roman" w:cs="Times New Roman" w:eastAsia="Times New Roman" w:hAnsi="Times New Roman"/>
          <w:sz w:val="13"/>
          <w:szCs w:val="13"/>
          <w:color w:val="008000"/>
        </w:rPr>
      </w:pPr>
    </w:p>
    <w:p>
      <w:pPr>
        <w:ind w:left="20" w:right="20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arrangement between Andrew J. Stafman and Sachem Head, upon receipt of the Subject Securities, Andrew J. Stafman granted all right, title, interest, claims, and any other ownership interests in such Subject Securities to Sachem Head for no consideration.</w:t>
      </w:r>
    </w:p>
    <w:p>
      <w:pPr>
        <w:spacing w:after="0" w:line="7" w:lineRule="exact"/>
        <w:rPr>
          <w:rFonts w:ascii="Times New Roman" w:cs="Times New Roman" w:eastAsia="Times New Roman" w:hAnsi="Times New Roman"/>
          <w:sz w:val="13"/>
          <w:szCs w:val="13"/>
          <w:color w:val="008000"/>
        </w:rPr>
      </w:pPr>
    </w:p>
    <w:p>
      <w:pPr>
        <w:ind w:left="20" w:right="26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Of these shares, all 2,295,000 of these shares represent the Issuer's Class A common stock owned by the Sachem Head Funds (as defined below) prior to the Issuer's grant of any RSUs to Andrew J. Stafman.</w:t>
      </w:r>
    </w:p>
    <w:p>
      <w:pPr>
        <w:spacing w:after="0" w:line="7"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securities directly owned by Sachem Head LP ("SH"), Sachem Head Master LP ("SHM"), and SH Stony Creek Master Ltd. ("Stony Creek Master" and, together with SH and SHM, the "Sachem Head Funds"). Each of Sachem Head, as the investment adviser to the Sachem Head Funds, SH Management, as the sole general partner of Sachem Head, and Scott D. Ferguson, as the managing partner of Sachem Head, may be deemed to beneficially own the securities directly owned by the Sachem Head Funds. As the general partner of SH and SHM, Sachem Head GP may be deemed to beneficially own the securities directly owned by SH and SHM.</w:t>
      </w:r>
    </w:p>
    <w:p>
      <w:pPr>
        <w:spacing w:after="0" w:line="24" w:lineRule="exact"/>
        <w:rPr>
          <w:rFonts w:ascii="Times New Roman" w:cs="Times New Roman" w:eastAsia="Times New Roman" w:hAnsi="Times New Roman"/>
          <w:sz w:val="13"/>
          <w:szCs w:val="13"/>
          <w:color w:val="008000"/>
        </w:rPr>
      </w:pPr>
    </w:p>
    <w:p>
      <w:pPr>
        <w:ind w:left="20" w:right="1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principal business of Sachem Head is to serve as investment advisor to certain affiliated funds, including the Sachem Head Funds. The principal business of SH Management is to serve as the sole general partner of Sachem Head. The principal business of Sachem Head GP is to serve as the general partner of certain affiliated funds, including SH and SHM. The principal occupation of Scott D. Ferguson is to serve as the managing partner of Sachem Head and the managing member of SH Management and Sachem Head GP.</w:t>
      </w: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Michael D. Adamski,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97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Attorney-in-Fact for Andrew</w:t>
        <w:tab/>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 Stafman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641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46418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Michael D. Adamski,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976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Attorney-in-Fact for Scott D.</w:t>
        <w:tab/>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070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40703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Michael D. Adamski,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9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General Counsel of Sachem</w:t>
        <w:tab/>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Head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47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Michael D. Adamski,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976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General Counsel of Uncas GP  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2076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Michael D. Adamski,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976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General Counsel of Sachem</w:t>
        <w:tab/>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Head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356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40"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20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11" w:right="499" w:bottom="24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13" Type="http://schemas.openxmlformats.org/officeDocument/2006/relationships/hyperlink" Target="http://www.sec.gov/cgi-bin/browse-edgar?action=getcompany&amp;CIK=0002018024" TargetMode="External"/><Relationship Id="rId14" Type="http://schemas.openxmlformats.org/officeDocument/2006/relationships/hyperlink" Target="http://www.sec.gov/cgi-bin/browse-edgar?action=getcompany&amp;CIK=0001447669" TargetMode="External"/><Relationship Id="rId15" Type="http://schemas.openxmlformats.org/officeDocument/2006/relationships/hyperlink" Target="http://www.sec.gov/cgi-bin/browse-edgar?action=getcompany&amp;CIK=0001658919" TargetMode="External"/><Relationship Id="rId17" Type="http://schemas.openxmlformats.org/officeDocument/2006/relationships/hyperlink" Target="http://www.sec.gov/cgi-bin/browse-edgar?action=getcompany&amp;CIK=0001582090" TargetMode="External"/><Relationship Id="rId19" Type="http://schemas.openxmlformats.org/officeDocument/2006/relationships/hyperlink" Target="http://www.sec.gov/cgi-bin/browse-edgar?action=getcompany&amp;CIK=0001658906" TargetMode="External"/><Relationship Id="rId20" Type="http://schemas.openxmlformats.org/officeDocument/2006/relationships/hyperlink" Target="http://www.sec.gov/cgi-bin/browse-edgar?action=getcompany&amp;CIK=00016589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2026-06-17T16:11:54Z</dcterms:created>
  <dcterms:modified xsi:type="dcterms:W3CDTF">2026-06-17T16:11:54Z</dcterms:modified>
</cp:coreProperties>
</file>